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D9F" w:rsidRDefault="001D126A">
      <w:r>
        <w:rPr>
          <w:rFonts w:ascii="Verdana" w:hAnsi="Verdana"/>
          <w:color w:val="333333"/>
          <w:shd w:val="clear" w:color="auto" w:fill="FFFFFF"/>
        </w:rPr>
        <w:t xml:space="preserve">Подготовлен Министерством труда и социальной защиты Российской Федерации (март 2022 г.)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I. Общие положения 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 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 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 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приложении № 1. 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 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w:t>
      </w:r>
      <w:r>
        <w:rPr>
          <w:rFonts w:ascii="Verdana" w:hAnsi="Verdana"/>
          <w:color w:val="333333"/>
          <w:shd w:val="clear" w:color="auto" w:fill="FFFFFF"/>
        </w:rPr>
        <w:lastRenderedPageBreak/>
        <w:t xml:space="preserve">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 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 II. Правоприменительная практика в ситуациях, не влекущих применения взысканий 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 а) ошибочное (неточное) указание сведений в справке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Справка (ошибка в форме 6-НДФЛ, сведениях о наличии счетов и иной информации, необходимой для заполнения Справок, выданных кредитной или некредитной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 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 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 совершение орфографических ошибок (ошибки в указании марки и модели транспортного средства: вместо правильного написания "КИА" указывается "КИЯ"); совершение ошибок в сокращениях и аббревиатурах (вместо правильного написания "проспект Строителей" или "пр-т Строителей" указывается "пр. Строителей"); 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 в) указание большего объема сведений, чем предусмотрено Справкой (равно как и ошибки в сведениях, неподлежащих отражению в Справке), например: указание сведений о расходах, о сумме поступивших на счет денежных средств и иной информации в отсутствие </w:t>
      </w:r>
      <w:r>
        <w:rPr>
          <w:rFonts w:ascii="Verdana" w:hAnsi="Verdana"/>
          <w:color w:val="333333"/>
          <w:shd w:val="clear" w:color="auto" w:fill="FFFFFF"/>
        </w:rPr>
        <w:lastRenderedPageBreak/>
        <w:t xml:space="preserve">правовых оснований для представления данных сведений; указание срочных обязательств финансового характера на сумму менее 500 000 руб.; 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 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 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 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 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 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w:t>
      </w:r>
      <w:r>
        <w:rPr>
          <w:rFonts w:ascii="Verdana" w:hAnsi="Verdana"/>
          <w:color w:val="333333"/>
          <w:shd w:val="clear" w:color="auto" w:fill="FFFFFF"/>
        </w:rPr>
        <w:lastRenderedPageBreak/>
        <w:t xml:space="preserve">Вместе с тем данное обстоятельство должно учитываться и в этой связи взыскание может не применяться. 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подпунктом "в" пункта 16 Положения о комиссиях). 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 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подразделе 3.1 раздела 3 или 6.1 раздела 6 Справки в качестве объекта собственности или объекта, находящегося в пользовании, эта квартира не указана. Обращалось также внимание на необходимость представления Справки с использованием актуальной версии специального программного обеспечения "Справки БК". III. Правоприменительная практика в ситуациях, влекущих применение взысканий 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 11. При определении конкретного вида взыскания, которое подлежит применению, учитывается следующее: а) характер и тяжесть совершенного нарушения; б) обстоятельства, при которых совершено нарушение; в) соблюдение служащим других запретов, исполнение других обязанностей, установленных в целях противодействия коррупции; г) предшествующие результаты исполнения служащим своих должностных обязанностей. 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 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 а) сокрытия доходов, имущества, источники происхождения которых служащий не мог пояснить или стоимость которых не соответствовала его доходам; 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указания недостоверной цены сделки в разделе 2 Справки для придания видимости соответствия расходов служащего его доходам; г) </w:t>
      </w:r>
      <w:r>
        <w:rPr>
          <w:rFonts w:ascii="Verdana" w:hAnsi="Verdana"/>
          <w:color w:val="333333"/>
          <w:shd w:val="clear" w:color="auto" w:fill="FFFFFF"/>
        </w:rPr>
        <w:lastRenderedPageBreak/>
        <w:t xml:space="preserve">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 д) сокрытия информации о фактах получения доходов от продажи имущества по цене существенно выше рыночной; 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 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 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 Обзор ситуаций, которые расценивались как значительные проступки, влекущие увольнение служащего в связи с утратой доверия, представлен в приложении № 2. 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 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приложении № 3. 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 16. Практика применения взысканий показывает, что в отдельных случаях впервые совершенных несущественных проступков, обзор которых приведен в приложении № 4, и при отсутствии отягчающих обстоятельств взыскания не применялись. 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 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 б) безукоризненное соблюдение служащим в отчетном периоде других ограничений, запретов, требований, исполнение </w:t>
      </w:r>
      <w:r>
        <w:rPr>
          <w:rFonts w:ascii="Verdana" w:hAnsi="Verdana"/>
          <w:color w:val="333333"/>
          <w:shd w:val="clear" w:color="auto" w:fill="FFFFFF"/>
        </w:rPr>
        <w:lastRenderedPageBreak/>
        <w:t xml:space="preserve">обязанностей, установленных в целях противодействия коррупции; 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 г) содействие проверяемого осуществляемым в ходе проверки мероприятиям, направленным на всестороннее изучение предмета проверки; д) принятие служащим мер по предотвращению дальнейшего совершения им коррупционного правонарушения и (или) устранению последствий его совершения; е) эффективное выполнение особо важных и сложных заданий (в случае наличия иных смягчающих обстоятельств); 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 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 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 20. Проведенный анализ выявил, что к отягчающим обстоятельствам были отнесены только следующие: 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 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в) одновременное нарушение двух и более требований законодательства Российской Федерации о противодействии коррупции; 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 ж) продолжение противоправных действий, несмотря на требование уполномоченного лица (органа) об их прекращении. 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 22. Не являются ни отягчающими, ни смягчающими обстоятельствами: а) реализация </w:t>
      </w:r>
      <w:r>
        <w:rPr>
          <w:rFonts w:ascii="Verdana" w:hAnsi="Verdana"/>
          <w:color w:val="333333"/>
          <w:shd w:val="clear" w:color="auto" w:fill="FFFFFF"/>
        </w:rPr>
        <w:lastRenderedPageBreak/>
        <w:t xml:space="preserve">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 б) нереализация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 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 IV. Дополнительные положения 24. Практика показывает, что в случаях невозможности представить Справку, содержащую достоверные и полные сведения, в отношении супруги (супруга) 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 При этом причина непредставления служащим Справки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 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 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 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 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w:t>
      </w:r>
      <w:r>
        <w:rPr>
          <w:rFonts w:ascii="Verdana" w:hAnsi="Verdana"/>
          <w:color w:val="333333"/>
          <w:shd w:val="clear" w:color="auto" w:fill="FFFFFF"/>
        </w:rPr>
        <w:lastRenderedPageBreak/>
        <w:t xml:space="preserve">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 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 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 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 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часть 5 статьи 59.3 Федерального закона от 27 июля 2004 г. № 79-ФЗ "О государственной гражданской службе Российской Федерации"). 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 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статьей 20.2 Федерального закона от 27 июля 2004 г. № 79-ФЗ "О государственной гражданской службе Российской Федерации" или со статьей 15.1 Федерального закона от 2 марта 2007 г. №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 </w:t>
      </w:r>
      <w:r>
        <w:rPr>
          <w:rFonts w:ascii="Verdana" w:hAnsi="Verdana"/>
          <w:color w:val="333333"/>
          <w:shd w:val="clear" w:color="auto" w:fill="FFFFFF"/>
        </w:rPr>
        <w:t> </w:t>
      </w:r>
      <w:r>
        <w:rPr>
          <w:rFonts w:ascii="Verdana" w:hAnsi="Verdana"/>
          <w:color w:val="333333"/>
          <w:shd w:val="clear" w:color="auto" w:fill="FFFFFF"/>
        </w:rPr>
        <w:t xml:space="preserve"> Приложение № 1 Типовая процедура применения взысканий в упрощенном порядке 1. В </w:t>
      </w:r>
      <w:r>
        <w:rPr>
          <w:rFonts w:ascii="Verdana" w:hAnsi="Verdana"/>
          <w:color w:val="333333"/>
          <w:shd w:val="clear" w:color="auto" w:fill="FFFFFF"/>
        </w:rPr>
        <w:lastRenderedPageBreak/>
        <w:t xml:space="preserve">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 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 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 3. В запросе разъясняется содержание статей федеральных законов, касающихся вопросов привлечения к ответственности в упрощенном порядке. 4. В запросе указывается разумный срок представления объяснения. 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 6. В случае ненаправления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 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 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 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 Кроме того, указанный доклад в целях применения соразмерного взыскания за совершенное коррупционное правонарушение содержит следующую информацию: характер и тяжесть совершенного служащим коррупционного правонарушения; обстоятельства, при которых совершено коррупционное правонарушение; соблюдение служащим других ограничений и запретов, требований о предотвращении или </w:t>
      </w:r>
      <w:r>
        <w:rPr>
          <w:rFonts w:ascii="Verdana" w:hAnsi="Verdana"/>
          <w:color w:val="333333"/>
          <w:shd w:val="clear" w:color="auto" w:fill="FFFFFF"/>
        </w:rPr>
        <w:lastRenderedPageBreak/>
        <w:t xml:space="preserve">об урегулировании конфликта интересов и исполнение им обязанностей, установленных в целях противодействия коррупции; предшествующие результаты исполнения служащим своих должностных обязанностей. 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 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 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Приложение № 2 Обзор ситуаций, которые расценивались как значительные проступки, влекущие увольнение государственного (муниципального) служащего в связи с утратой доверия 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 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 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 а) неуказания соответствующих сведений о расходах в разделе 2 Справки и одновременного неуказания сведений о приобретенном имуществе в разделе 3 и (или) в разделе 5 Справки; б) неуказания соответствующих сведений о расходах в разделе 2 Справки, при этом сведения о появившемся в отчетном периоде имуществе указаны в разделе 3 и (или) в разделе 5 Справки. 4. Сокрыта информация о банковском счете, движение денежных средств по которому не может быть объяснено исходя из доходов. 5. Представлены недостоверные сведения, способствующие сокрытию информации о наличии конфликта интересов, в том числе: 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 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w:t>
      </w:r>
      <w:r>
        <w:rPr>
          <w:rFonts w:ascii="Verdana" w:hAnsi="Verdana"/>
          <w:color w:val="333333"/>
          <w:shd w:val="clear" w:color="auto" w:fill="FFFFFF"/>
        </w:rPr>
        <w:lastRenderedPageBreak/>
        <w:t xml:space="preserve">управления; в) о получении кредитов, займов от организации, в отношении которой служащий выполняет функции государственного (муниципального) управления; 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 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 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 6. Представление недостоверных сведений, способствующих сокрытию информации о нарушении запретов, например: а) о получении служащим дохода от предпринимательской деятельности; б) о владении акциями, долями участия в коммерческих организациях, при том, что служащий фактически участвует в управлении этой коммерческой организацией; в) для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 о наличии счета (счетов) в иностранном банке (иностранных банках), расположенном (расположенных) за пределами территории Российской Федерации. 7. Сокрытие сведений о находящемся в собственности недвижимом имуществе, расположенном за пределами Российской Федерации. 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 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 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 11. Указание в разделе 2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 12. Сокрытие факта отчуждения недвижимого имущества, транспортных </w:t>
      </w:r>
      <w:r>
        <w:rPr>
          <w:rFonts w:ascii="Verdana" w:hAnsi="Verdana"/>
          <w:color w:val="333333"/>
          <w:shd w:val="clear" w:color="auto" w:fill="FFFFFF"/>
        </w:rPr>
        <w:lastRenderedPageBreak/>
        <w:t xml:space="preserve">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неуказанием сведений о приобретении названного имущества в разделе 2 Справки при наличии оснований. 13. Непринятие служащим мер по предотвращению и урегулированию конфликта интересов в следующих ситуациях: 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общественно-опасным последствиям (например, сокрытие служащим информации о несоблюдении поднадзорной организацией правил пожарной безопасности); 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 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 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 Приложение № 3 Обзор ситуаций, которые расценивались как малозначительные проступки 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 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 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 4. Не </w:t>
      </w:r>
      <w:r>
        <w:rPr>
          <w:rFonts w:ascii="Verdana" w:hAnsi="Verdana"/>
          <w:color w:val="333333"/>
          <w:shd w:val="clear" w:color="auto" w:fill="FFFFFF"/>
        </w:rPr>
        <w:lastRenderedPageBreak/>
        <w:t xml:space="preserve">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 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 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 7. Служащий не указал имущество, находящееся в его собственности, при этом данное имущество отражено в Справках за предыдущие отчетные периоды и отсутствуют коррупционные риски. 8. Не указан доход от продажи транспортного средства по договору трейд-ин, при этом новое транспортное средство указано в Справке. 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 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Приложение № 4 Обзор ситуаций, которые расценивались как несущественные проступки 1. Разница между суммой всех фактически полученных доходов и суммой доходов, указанных в разделе 1 Справки, не превышает 50 000 руб. 2. При заполнении раздела 1 Справки служащий ошибся в выборе источника дохода (например, доход от педагогической деятельности указан в строке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w:t>
      </w:r>
      <w:r>
        <w:rPr>
          <w:rFonts w:ascii="Verdana" w:hAnsi="Verdana"/>
          <w:color w:val="333333"/>
          <w:shd w:val="clear" w:color="auto" w:fill="FFFFFF"/>
        </w:rPr>
        <w:lastRenderedPageBreak/>
        <w:t xml:space="preserve">работы, факт совершения иного коррупционного правонарушения. 3. Объект недвижимого имущества, находящийся в пользовании по договору социального найма, указан в подразделе 3.1 раздела 3 Справки. 4. Объект недвижимого имущества, который ранее указывался в подразделе 3.1 раздела 3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 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 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 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 8. Не указаны сведения о транспортном средстве: рыночная стоимость которого не превышает 100 000 руб. и фактическое пользование которым не осуществляется более 10 лет; переданном третьим лицам по нотариальной доверенности, выданной более трех лет назад, рыночная стоимость которого не превышает 500 000 руб.; находящимся в угоне. 9. Не указаны сведения о банковских счетах, вкладах: 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 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 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 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 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Справки. 12. Ошибочно указан заем от физического лица в разделе 1 Справки </w:t>
      </w:r>
      <w:r>
        <w:rPr>
          <w:rFonts w:ascii="Verdana" w:hAnsi="Verdana"/>
          <w:color w:val="333333"/>
          <w:shd w:val="clear" w:color="auto" w:fill="FFFFFF"/>
        </w:rPr>
        <w:lastRenderedPageBreak/>
        <w:t>в качестве дохода при условии, что данное обстоятельство не привело к исключению необходимости заполнения раздела 2 Справки. 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 14. Неуказание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 15. Неуведомление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 16. Неуказание служащим в Справке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 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разделе 1 Справки и при этом соблюдены иные антикоррупционные стандарты в ходе выполнения иной оплачиваемой работы (деятельности). 18. Неуказание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 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bookmarkStart w:id="0" w:name="_GoBack"/>
      <w:bookmarkEnd w:id="0"/>
    </w:p>
    <w:sectPr w:rsidR="00E56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7EC"/>
    <w:rsid w:val="001D126A"/>
    <w:rsid w:val="00D137EC"/>
    <w:rsid w:val="00E56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7155</Words>
  <Characters>40784</Characters>
  <Application>Microsoft Office Word</Application>
  <DocSecurity>0</DocSecurity>
  <Lines>339</Lines>
  <Paragraphs>95</Paragraphs>
  <ScaleCrop>false</ScaleCrop>
  <Company/>
  <LinksUpToDate>false</LinksUpToDate>
  <CharactersWithSpaces>47844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dc:creator>
  <cp:keywords/>
  <dc:description/>
  <cp:lastModifiedBy>Алена</cp:lastModifiedBy>
  <cp:revision>2</cp:revision>
  <dcterms:created xsi:type="dcterms:W3CDTF">2024-05-06T06:51:00Z</dcterms:created>
  <dcterms:modified xsi:type="dcterms:W3CDTF">2024-05-06T06:51:00Z</dcterms:modified>
</cp:coreProperties>
</file>